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97" w:rsidRPr="00F369E1" w:rsidRDefault="00F31997" w:rsidP="00F31997">
      <w:pPr>
        <w:contextualSpacing/>
        <w:jc w:val="center"/>
        <w:rPr>
          <w:b/>
        </w:rPr>
      </w:pPr>
      <w:r w:rsidRPr="00F369E1">
        <w:rPr>
          <w:b/>
        </w:rPr>
        <w:t xml:space="preserve">Анализ выполнения программы по образовательным </w:t>
      </w:r>
      <w:r>
        <w:rPr>
          <w:b/>
        </w:rPr>
        <w:t>областям</w:t>
      </w:r>
    </w:p>
    <w:p w:rsidR="00F31997" w:rsidRPr="00F369E1" w:rsidRDefault="00F31997" w:rsidP="00F31997">
      <w:pPr>
        <w:contextualSpacing/>
        <w:jc w:val="center"/>
        <w:rPr>
          <w:b/>
        </w:rPr>
      </w:pPr>
      <w:r>
        <w:rPr>
          <w:b/>
        </w:rPr>
        <w:t>за 2016- 2017</w:t>
      </w:r>
      <w:r w:rsidRPr="00F369E1">
        <w:rPr>
          <w:b/>
        </w:rPr>
        <w:t xml:space="preserve"> учебный год.</w:t>
      </w:r>
    </w:p>
    <w:p w:rsidR="00F31997" w:rsidRPr="00F369E1" w:rsidRDefault="00F31997" w:rsidP="00F31997">
      <w:pPr>
        <w:contextualSpacing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65"/>
        <w:gridCol w:w="3149"/>
        <w:gridCol w:w="2900"/>
      </w:tblGrid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№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F31997">
            <w:pPr>
              <w:contextualSpacing/>
              <w:jc w:val="center"/>
            </w:pPr>
            <w:r>
              <w:t>Образовательным</w:t>
            </w:r>
            <w:r w:rsidRPr="000533A8">
              <w:t xml:space="preserve"> </w:t>
            </w:r>
            <w:r>
              <w:t>областям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Начало года %</w:t>
            </w:r>
          </w:p>
          <w:p w:rsidR="00F31997" w:rsidRPr="000533A8" w:rsidRDefault="00F31997" w:rsidP="00DB23E7">
            <w:pPr>
              <w:contextualSpacing/>
            </w:pPr>
            <w:r w:rsidRPr="000533A8">
              <w:t>(знания детей сформированы)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Конец года %</w:t>
            </w:r>
          </w:p>
          <w:p w:rsidR="00F31997" w:rsidRPr="000533A8" w:rsidRDefault="00F31997" w:rsidP="00DB23E7">
            <w:pPr>
              <w:contextualSpacing/>
            </w:pPr>
            <w:r w:rsidRPr="000533A8">
              <w:t>(знания детей сформированы)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1.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>
              <w:t>Социально-коммуникативное развитие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57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96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 xml:space="preserve">2. 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>
              <w:t>Познавательное развитие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54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92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3.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>
              <w:t>Речевое развитие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 w:rsidRPr="000533A8">
              <w:t>5</w:t>
            </w:r>
            <w:r>
              <w:t>3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90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4.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>
              <w:t>Художественно-эстетическое развитие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 w:rsidRPr="000533A8">
              <w:t>5</w:t>
            </w:r>
            <w:r>
              <w:t>6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92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 w:rsidRPr="000533A8">
              <w:t>5.</w:t>
            </w: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  <w:r>
              <w:t>Физическое развитие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70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</w:pPr>
            <w:r>
              <w:t>95</w:t>
            </w:r>
          </w:p>
        </w:tc>
      </w:tr>
      <w:tr w:rsidR="00F31997" w:rsidRPr="000533A8" w:rsidTr="00DB23E7">
        <w:tc>
          <w:tcPr>
            <w:tcW w:w="709" w:type="dxa"/>
            <w:shd w:val="clear" w:color="auto" w:fill="auto"/>
          </w:tcPr>
          <w:p w:rsidR="00F31997" w:rsidRPr="000533A8" w:rsidRDefault="00F31997" w:rsidP="00DB23E7">
            <w:pPr>
              <w:contextualSpacing/>
            </w:pPr>
          </w:p>
        </w:tc>
        <w:tc>
          <w:tcPr>
            <w:tcW w:w="3165" w:type="dxa"/>
            <w:shd w:val="clear" w:color="auto" w:fill="auto"/>
          </w:tcPr>
          <w:p w:rsidR="00F31997" w:rsidRPr="000533A8" w:rsidRDefault="00F31997" w:rsidP="00DB23E7">
            <w:pPr>
              <w:contextualSpacing/>
              <w:rPr>
                <w:b/>
              </w:rPr>
            </w:pPr>
            <w:r w:rsidRPr="000533A8">
              <w:rPr>
                <w:b/>
              </w:rPr>
              <w:t>ИТОГО</w:t>
            </w:r>
          </w:p>
        </w:tc>
        <w:tc>
          <w:tcPr>
            <w:tcW w:w="3149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900" w:type="dxa"/>
            <w:shd w:val="clear" w:color="auto" w:fill="auto"/>
          </w:tcPr>
          <w:p w:rsidR="00F31997" w:rsidRPr="000533A8" w:rsidRDefault="00F31997" w:rsidP="00DB23E7">
            <w:pPr>
              <w:contextualSpacing/>
              <w:jc w:val="center"/>
              <w:rPr>
                <w:b/>
              </w:rPr>
            </w:pPr>
            <w:r w:rsidRPr="000533A8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</w:tr>
    </w:tbl>
    <w:p w:rsidR="00F31997" w:rsidRDefault="00F31997" w:rsidP="00F31997">
      <w:pPr>
        <w:ind w:left="-720"/>
        <w:contextualSpacing/>
      </w:pPr>
    </w:p>
    <w:p w:rsidR="00D36672" w:rsidRDefault="00F31997">
      <w:r>
        <w:rPr>
          <w:noProof/>
          <w:lang w:eastAsia="ru-RU"/>
        </w:rPr>
        <w:drawing>
          <wp:inline distT="0" distB="0" distL="0" distR="0">
            <wp:extent cx="2771775" cy="942975"/>
            <wp:effectExtent l="38100" t="1905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942975"/>
            <wp:effectExtent l="38100" t="19050" r="95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97"/>
    <w:rsid w:val="000B551F"/>
    <w:rsid w:val="00244E6A"/>
    <w:rsid w:val="002F087C"/>
    <w:rsid w:val="00592E09"/>
    <w:rsid w:val="00D36672"/>
    <w:rsid w:val="00F31997"/>
    <w:rsid w:val="00F8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2015-2016 учебный год</a:t>
            </a:r>
          </a:p>
        </c:rich>
      </c:tx>
    </c:title>
    <c:view3D>
      <c:perspective val="0"/>
    </c:view3D>
    <c:plotArea>
      <c:layout>
        <c:manualLayout>
          <c:layoutTarget val="inner"/>
          <c:xMode val="edge"/>
          <c:yMode val="edge"/>
          <c:x val="8.7542087542087532E-2"/>
          <c:y val="0.37267080745341635"/>
          <c:w val="0.48148148148148157"/>
          <c:h val="0.34782608695652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458775439955251"/>
                  <c:y val="3.933170201624160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3998227270771491"/>
                  <c:y val="-6.92050869817224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93%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8686870732798266"/>
          <c:y val="0.42857170126461497"/>
          <c:w val="0.28619523845692885"/>
          <c:h val="0.29813600572655685"/>
        </c:manualLayout>
      </c:layout>
    </c:legend>
    <c:plotVisOnly val="1"/>
    <c:dispBlanksAs val="zero"/>
  </c:chart>
  <c:spPr>
    <a:ln w="28577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/>
              <a:t>2016-2017 учебный год</a:t>
            </a:r>
          </a:p>
        </c:rich>
      </c:tx>
    </c:title>
    <c:view3D>
      <c:perspective val="0"/>
    </c:view3D>
    <c:plotArea>
      <c:layout>
        <c:manualLayout>
          <c:layoutTarget val="inner"/>
          <c:xMode val="edge"/>
          <c:yMode val="edge"/>
          <c:x val="8.9403973509933746E-2"/>
          <c:y val="0.36645962732919274"/>
          <c:w val="0.48675496688741737"/>
          <c:h val="0.360248447204969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0731985614701835"/>
                  <c:y val="1.818555289284491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1672524030101307"/>
                  <c:y val="-0.1002241241583934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howPercent val="1"/>
          </c:dLbls>
          <c:cat>
            <c:strRef>
              <c:f>Sheet1!$B$1:$E$1</c:f>
              <c:strCache>
                <c:ptCount val="2"/>
                <c:pt idx="0">
                  <c:v> 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69205292637389415"/>
          <c:y val="0.43478196804346836"/>
          <c:w val="0.28145718898539734"/>
          <c:h val="0.29813602247087539"/>
        </c:manualLayout>
      </c:layout>
    </c:legend>
    <c:plotVisOnly val="1"/>
    <c:dispBlanksAs val="zero"/>
  </c:chart>
  <c:spPr>
    <a:ln w="28578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2017-11-19T12:26:00Z</dcterms:created>
  <dcterms:modified xsi:type="dcterms:W3CDTF">2017-11-19T12:28:00Z</dcterms:modified>
</cp:coreProperties>
</file>